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tabs>
          <w:tab w:val="left" w:pos="7105"/>
        </w:tabs>
        <w:spacing w:line="276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</w:t>
      </w:r>
    </w:p>
    <w:p>
      <w:pPr>
        <w:widowControl/>
        <w:tabs>
          <w:tab w:val="left" w:pos="7105"/>
        </w:tabs>
        <w:spacing w:line="276" w:lineRule="auto"/>
        <w:ind w:firstLine="482" w:firstLineChars="200"/>
        <w:jc w:val="left"/>
        <w:rPr>
          <w:rFonts w:hAnsi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表格一</w:t>
      </w:r>
    </w:p>
    <w:p>
      <w:pPr>
        <w:widowControl/>
        <w:tabs>
          <w:tab w:val="left" w:pos="7105"/>
        </w:tabs>
        <w:spacing w:line="276" w:lineRule="auto"/>
        <w:ind w:firstLine="482" w:firstLineChars="200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拟采购调研项目概况：</w:t>
      </w:r>
      <w:r>
        <w:rPr>
          <w:rFonts w:hint="eastAsia" w:hAnsi="宋体" w:cs="宋体"/>
          <w:sz w:val="24"/>
          <w:szCs w:val="24"/>
        </w:rPr>
        <w:t>（药品名称、规格、包装材质及其它技术参数等）：</w:t>
      </w:r>
    </w:p>
    <w:tbl>
      <w:tblPr>
        <w:tblStyle w:val="6"/>
        <w:tblW w:w="14202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065"/>
        <w:gridCol w:w="2237"/>
        <w:gridCol w:w="508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药名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包装材质</w:t>
            </w: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甘露醇注射液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20%*2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50ml: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葡萄糖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10%*25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0ml: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葡萄糖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5%*10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葡萄糖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5%*5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0ml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:2.5g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葡萄糖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5%*25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葡萄糖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5%*50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葡萄糖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10%*50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0ml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:50g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葡萄糖氯化钠注射液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葡萄糖氯化钠注射液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复方氯化钠注射液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灭菌注射用水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5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乳酸钠林格注射液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0.9%*2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50ml: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0.9%*500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ml: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0.9%*300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0ml: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氯化钠注射液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0.9%*500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ml: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5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备注： 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请填写可供产品的包装材质。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本次拟采购调研品种包含温岭市第一人民医院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滨海院区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所需用量。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参与拟采购调研品种应与温岭市第一人民医院及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滨海院区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所使用注射器适配。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spacing w:line="246" w:lineRule="auto"/>
        <w:ind w:right="500" w:firstLine="607" w:firstLineChars="253"/>
        <w:rPr>
          <w:rFonts w:hAnsi="宋体" w:cs="宋体"/>
          <w:color w:val="000000"/>
          <w:sz w:val="24"/>
          <w:szCs w:val="24"/>
        </w:rPr>
      </w:pPr>
    </w:p>
    <w:p>
      <w:pPr>
        <w:widowControl/>
        <w:jc w:val="lef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br w:type="page"/>
      </w:r>
    </w:p>
    <w:p>
      <w:pPr>
        <w:spacing w:line="246" w:lineRule="auto"/>
        <w:ind w:right="500" w:firstLine="607" w:firstLineChars="253"/>
        <w:rPr>
          <w:rFonts w:hAnsi="宋体" w:cs="宋体"/>
          <w:color w:val="000000"/>
          <w:sz w:val="24"/>
          <w:szCs w:val="24"/>
        </w:rPr>
        <w:sectPr>
          <w:pgSz w:w="16838" w:h="11906" w:orient="landscape"/>
          <w:pgMar w:top="1276" w:right="1440" w:bottom="1416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7105"/>
        </w:tabs>
        <w:spacing w:line="276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表格二</w:t>
      </w:r>
    </w:p>
    <w:tbl>
      <w:tblPr>
        <w:tblStyle w:val="6"/>
        <w:tblW w:w="135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54"/>
        <w:gridCol w:w="1547"/>
        <w:gridCol w:w="1146"/>
        <w:gridCol w:w="1575"/>
        <w:gridCol w:w="976"/>
        <w:gridCol w:w="1747"/>
        <w:gridCol w:w="1146"/>
        <w:gridCol w:w="715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5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温岭市第一人民医院大容量注射剂拟采购品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规调研单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生产厂家（全称）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投标企业（全称）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是否与济世源建立配送关系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可供产品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规格及供货价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质量要求及保障</w:t>
            </w:r>
          </w:p>
        </w:tc>
        <w:tc>
          <w:tcPr>
            <w:tcW w:w="11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企业资质及信誉、企业仓储、物流及配送服务能力（均需附相关佐证资料）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售后服务方案</w:t>
            </w:r>
          </w:p>
        </w:tc>
        <w:tc>
          <w:tcPr>
            <w:tcW w:w="1111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简述，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可附页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产品销售覆盖情况调研</w:t>
            </w:r>
          </w:p>
        </w:tc>
        <w:tc>
          <w:tcPr>
            <w:tcW w:w="11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近两年内相同规格在浙江省用户名单及购买日期，联系人及电话（可附表）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其他承诺</w:t>
            </w:r>
          </w:p>
        </w:tc>
        <w:tc>
          <w:tcPr>
            <w:tcW w:w="11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7105"/>
        </w:tabs>
        <w:spacing w:line="276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tabs>
          <w:tab w:val="left" w:pos="7105"/>
        </w:tabs>
        <w:spacing w:line="276" w:lineRule="auto"/>
        <w:jc w:val="left"/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联系人：</w:t>
      </w:r>
      <w:r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联系电话（手机）：</w:t>
      </w:r>
      <w:r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报时间：</w:t>
      </w:r>
      <w:r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</w:t>
      </w:r>
      <w:r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</w:t>
      </w:r>
      <w:r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</w:rPr>
        <w:t xml:space="preserve">    </w:t>
      </w:r>
    </w:p>
    <w:p>
      <w:pPr>
        <w:widowControl/>
        <w:tabs>
          <w:tab w:val="left" w:pos="7105"/>
        </w:tabs>
        <w:spacing w:line="276" w:lineRule="auto"/>
        <w:jc w:val="left"/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tabs>
          <w:tab w:val="left" w:pos="7105"/>
        </w:tabs>
        <w:spacing w:line="276" w:lineRule="auto"/>
        <w:jc w:val="left"/>
        <w:rPr>
          <w:rFonts w:ascii="Calibri" w:hAnsi="Calibri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tabs>
          <w:tab w:val="left" w:pos="7105"/>
        </w:tabs>
        <w:spacing w:line="276" w:lineRule="auto"/>
        <w:ind w:firstLine="482" w:firstLineChars="200"/>
        <w:jc w:val="left"/>
        <w:rPr>
          <w:rFonts w:hAnsi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表格三</w:t>
      </w:r>
    </w:p>
    <w:tbl>
      <w:tblPr>
        <w:tblStyle w:val="6"/>
        <w:tblW w:w="145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59"/>
        <w:gridCol w:w="1989"/>
        <w:gridCol w:w="3475"/>
        <w:gridCol w:w="1471"/>
        <w:gridCol w:w="1789"/>
        <w:gridCol w:w="3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882" w:rightChars="4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温岭市第一人民医院大容量注射剂拟采购品规报名表</w:t>
            </w:r>
          </w:p>
          <w:p>
            <w:pPr>
              <w:widowControl/>
              <w:ind w:right="882" w:rightChars="4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right="882" w:rightChars="42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生产厂家：　　　　　　　　　　　　　　　　　　　投标企业：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药品名称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包装材质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平台价格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6" w:lineRule="auto"/>
        <w:ind w:right="500" w:firstLine="533" w:firstLineChars="253"/>
        <w:rPr>
          <w:b/>
          <w:bCs/>
          <w:color w:val="000000"/>
        </w:rPr>
      </w:pPr>
    </w:p>
    <w:p>
      <w:pPr>
        <w:spacing w:line="246" w:lineRule="auto"/>
        <w:ind w:right="500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填写日期：          年        月        日</w:t>
      </w:r>
    </w:p>
    <w:sectPr>
      <w:pgSz w:w="16838" w:h="11906" w:orient="landscape"/>
      <w:pgMar w:top="993" w:right="2804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GJmMjI0ODc4MDM1YjcxYjliYTFkZTc3ZTg3ZjUifQ=="/>
  </w:docVars>
  <w:rsids>
    <w:rsidRoot w:val="00C409AF"/>
    <w:rsid w:val="00020522"/>
    <w:rsid w:val="000428D6"/>
    <w:rsid w:val="000935A2"/>
    <w:rsid w:val="000A4045"/>
    <w:rsid w:val="000B0F9D"/>
    <w:rsid w:val="000C1F86"/>
    <w:rsid w:val="000E55F7"/>
    <w:rsid w:val="000F582F"/>
    <w:rsid w:val="00126854"/>
    <w:rsid w:val="001423F2"/>
    <w:rsid w:val="001624F4"/>
    <w:rsid w:val="001653D4"/>
    <w:rsid w:val="001C7FC7"/>
    <w:rsid w:val="001D6EE8"/>
    <w:rsid w:val="001F7142"/>
    <w:rsid w:val="0022283D"/>
    <w:rsid w:val="00261299"/>
    <w:rsid w:val="002A1CD0"/>
    <w:rsid w:val="002D3EA3"/>
    <w:rsid w:val="002F1960"/>
    <w:rsid w:val="002F3DC4"/>
    <w:rsid w:val="00302010"/>
    <w:rsid w:val="003162B4"/>
    <w:rsid w:val="00330D2E"/>
    <w:rsid w:val="00377D0F"/>
    <w:rsid w:val="00387A00"/>
    <w:rsid w:val="003B1F76"/>
    <w:rsid w:val="003F34DE"/>
    <w:rsid w:val="004277EF"/>
    <w:rsid w:val="004568BE"/>
    <w:rsid w:val="00462632"/>
    <w:rsid w:val="0047055D"/>
    <w:rsid w:val="0047777A"/>
    <w:rsid w:val="00483A0B"/>
    <w:rsid w:val="004B3B26"/>
    <w:rsid w:val="004E634A"/>
    <w:rsid w:val="00522D36"/>
    <w:rsid w:val="005645D0"/>
    <w:rsid w:val="00595074"/>
    <w:rsid w:val="005C69F1"/>
    <w:rsid w:val="005D5D90"/>
    <w:rsid w:val="005D6549"/>
    <w:rsid w:val="005E6736"/>
    <w:rsid w:val="005E6A86"/>
    <w:rsid w:val="00602CFD"/>
    <w:rsid w:val="00622202"/>
    <w:rsid w:val="00677CD3"/>
    <w:rsid w:val="0069776F"/>
    <w:rsid w:val="006B21C5"/>
    <w:rsid w:val="006C561C"/>
    <w:rsid w:val="006C7634"/>
    <w:rsid w:val="006D7963"/>
    <w:rsid w:val="0073281B"/>
    <w:rsid w:val="00767463"/>
    <w:rsid w:val="007C2EE0"/>
    <w:rsid w:val="008734F4"/>
    <w:rsid w:val="008849C9"/>
    <w:rsid w:val="00896A95"/>
    <w:rsid w:val="008E0A04"/>
    <w:rsid w:val="00907F3F"/>
    <w:rsid w:val="009113EF"/>
    <w:rsid w:val="00916F93"/>
    <w:rsid w:val="0095537F"/>
    <w:rsid w:val="009F07E3"/>
    <w:rsid w:val="00A00DB7"/>
    <w:rsid w:val="00A03D59"/>
    <w:rsid w:val="00A37B02"/>
    <w:rsid w:val="00A42533"/>
    <w:rsid w:val="00AC0A3D"/>
    <w:rsid w:val="00AC16CA"/>
    <w:rsid w:val="00AD1370"/>
    <w:rsid w:val="00AF26DE"/>
    <w:rsid w:val="00B13EF6"/>
    <w:rsid w:val="00B14239"/>
    <w:rsid w:val="00B22BD7"/>
    <w:rsid w:val="00B25EA6"/>
    <w:rsid w:val="00B73539"/>
    <w:rsid w:val="00B8621D"/>
    <w:rsid w:val="00BB316E"/>
    <w:rsid w:val="00BB4FFC"/>
    <w:rsid w:val="00C14D1A"/>
    <w:rsid w:val="00C34333"/>
    <w:rsid w:val="00C409AF"/>
    <w:rsid w:val="00C41EB2"/>
    <w:rsid w:val="00C84FAD"/>
    <w:rsid w:val="00C97929"/>
    <w:rsid w:val="00CA7ECE"/>
    <w:rsid w:val="00CE3AD0"/>
    <w:rsid w:val="00CE5704"/>
    <w:rsid w:val="00D93BDA"/>
    <w:rsid w:val="00DA6B03"/>
    <w:rsid w:val="00DE37D3"/>
    <w:rsid w:val="00E34089"/>
    <w:rsid w:val="00EB0F6F"/>
    <w:rsid w:val="00EB5993"/>
    <w:rsid w:val="00EC748F"/>
    <w:rsid w:val="00F11CFA"/>
    <w:rsid w:val="00F96CC3"/>
    <w:rsid w:val="00FB5E96"/>
    <w:rsid w:val="00FD6036"/>
    <w:rsid w:val="1525548B"/>
    <w:rsid w:val="189102C8"/>
    <w:rsid w:val="1D2F6618"/>
    <w:rsid w:val="22340D64"/>
    <w:rsid w:val="326B3482"/>
    <w:rsid w:val="47EA7CB5"/>
    <w:rsid w:val="5D7305D8"/>
    <w:rsid w:val="70826E36"/>
    <w:rsid w:val="781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  <w:rPr>
      <w:rFonts w:hint="eastAsia" w:ascii="宋体" w:hAnsi="宋体" w:eastAsia="宋体" w:cs="Times New Roman"/>
      <w:kern w:val="0"/>
      <w:sz w:val="3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宋体" w:hAnsi="宋体" w:eastAsia="宋体" w:cs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1149</Words>
  <Characters>1349</Characters>
  <Lines>12</Lines>
  <Paragraphs>3</Paragraphs>
  <TotalTime>12</TotalTime>
  <ScaleCrop>false</ScaleCrop>
  <LinksUpToDate>false</LinksUpToDate>
  <CharactersWithSpaces>1525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2019-02-26T05:54:00Z</dcterms:created>
  <dc:creator>Sky123.Org</dc:creator>
  <cp:lastModifiedBy>宸雨baby13738513726</cp:lastModifiedBy>
  <dcterms:modified xsi:type="dcterms:W3CDTF">2024-07-13T00:14:23Z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E293324ABA394A1FA701EEC1ED520EF0_13</vt:lpwstr>
  </property>
</Properties>
</file>